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037D73A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96919">
        <w:rPr>
          <w:rFonts w:ascii="Times New Roman" w:eastAsia="Times New Roman" w:hAnsi="Times New Roman" w:cs="Times New Roman"/>
          <w:sz w:val="23"/>
          <w:szCs w:val="23"/>
        </w:rPr>
        <w:t>November 9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6:</w:t>
      </w:r>
      <w:r w:rsidR="005959D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34665DC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C42FB9">
        <w:rPr>
          <w:rFonts w:ascii="Times New Roman" w:eastAsia="Times New Roman" w:hAnsi="Times New Roman" w:cs="Times New Roman"/>
          <w:sz w:val="23"/>
          <w:szCs w:val="23"/>
        </w:rPr>
        <w:t>Christie Maurer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E0A30A4" w:rsidR="009570CD" w:rsidRDefault="00655E34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Financial reports</w:t>
      </w:r>
    </w:p>
    <w:p w14:paraId="17F905E2" w14:textId="512BC7D5" w:rsidR="005959DA" w:rsidRDefault="005959DA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Review 2021 Budget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996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5002B2BD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8F59AF">
      <w:rPr>
        <w:b/>
        <w:bCs/>
        <w:sz w:val="28"/>
      </w:rPr>
      <w:t>Finance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3636e48-dc39-47b7-8ac1-49ee0d613cc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2020-10-19T12:16:00Z</dcterms:created>
  <dcterms:modified xsi:type="dcterms:W3CDTF">2020-10-19T12:16:00Z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